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</w:rPr>
      </w:pPr>
      <w:r>
        <w:rPr>
          <w:sz w:val="28"/>
        </w:rPr>
        <w:t>VESZÉLYES ANYAGOKKAL FOLYTATOTT TEVÉKENYSÉG BEJELENTÉSE</w:t>
      </w:r>
    </w:p>
    <w:p>
      <w:pPr>
        <w:jc w:val="both"/>
        <w:rPr>
          <w:sz w:val="24"/>
        </w:rPr>
      </w:pPr>
      <w:r>
        <w:rPr>
          <w:sz w:val="24"/>
        </w:rPr>
        <w:t>A munkahelyeken történő veszélyes anyagokkal és készítményekkel történő munkavégzést a jogszabályi előírásoknak megfelelően be kell jelenteni. Ennek a végrehajtásához nyújt segítséget ez a segédlet.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A vonatkozó jogszabályi előírások az alábbiak:</w:t>
      </w:r>
    </w:p>
    <w:p>
      <w:pPr>
        <w:jc w:val="both"/>
        <w:rPr>
          <w:sz w:val="24"/>
        </w:rPr>
      </w:pPr>
      <w:r>
        <w:rPr>
          <w:sz w:val="24"/>
        </w:rPr>
        <w:t>2000. évi XXV. tv. (a kémiai biztonságról) 29. § (1) Az e törvény hatálya alá tartozó tevékenységet folytatni kívánó természetes vagy jogi személy, vagy jogi személyiséggel nem rendelkező szervezet - a (3) és (4) bekezdésben foglalt kivételekkel - a tevékenység megkezdésével egyidejűleg ezt köteles bejelenteni az egészségügyi államigazgatási szervnek. A bejelentést az egészségügyért felelős miniszter rendeletében meghatározottak szerint, elektronikus úton kell megtenni a telephely, illetve ennek hiánya esetén a székhely szerint illetékes egészségügyi államigazgatási szervnek.</w:t>
      </w:r>
    </w:p>
    <w:p>
      <w:pPr>
        <w:jc w:val="both"/>
        <w:rPr>
          <w:sz w:val="24"/>
        </w:rPr>
      </w:pPr>
      <w:r>
        <w:rPr>
          <w:sz w:val="24"/>
        </w:rPr>
        <w:t>44/2000. (XII. 27.) EüM rendelet</w:t>
      </w:r>
      <w:r>
        <w:rPr>
          <w:sz w:val="24"/>
        </w:rPr>
        <w:t xml:space="preserve"> (</w:t>
      </w:r>
      <w:r>
        <w:rPr>
          <w:sz w:val="24"/>
        </w:rPr>
        <w:t>a veszélyes anyagokkal és a veszélyes készítményekkel kapcsolatos egyes eljárások, illetve tevékenységek részletes szabályairó</w:t>
      </w:r>
      <w:r>
        <w:rPr>
          <w:sz w:val="24"/>
        </w:rPr>
        <w:t xml:space="preserve">l) </w:t>
      </w:r>
    </w:p>
    <w:p>
      <w:pPr>
        <w:jc w:val="both"/>
        <w:rPr>
          <w:sz w:val="24"/>
        </w:rPr>
      </w:pPr>
      <w:r>
        <w:rPr>
          <w:sz w:val="24"/>
        </w:rPr>
        <w:t>9. § (1)</w:t>
      </w:r>
      <w:r>
        <w:rPr>
          <w:sz w:val="24"/>
        </w:rPr>
        <w:t xml:space="preserve"> A veszélyes anyagokkal, illetve veszélyes keverékekkel végzett tevékenység bejelentése a 13. számú melléklet szerint, elektronikus úton az Országos Szakrendszeri Információs Rendszer által biztosított módon történik.</w:t>
      </w:r>
    </w:p>
    <w:p>
      <w:pPr>
        <w:jc w:val="both"/>
        <w:rPr>
          <w:sz w:val="24"/>
        </w:rPr>
      </w:pPr>
      <w:r>
        <w:rPr>
          <w:sz w:val="24"/>
        </w:rPr>
        <w:t xml:space="preserve">(2) </w:t>
      </w:r>
      <w:r>
        <w:rPr>
          <w:sz w:val="24"/>
        </w:rPr>
        <w:t>A veszélyes anyagokkal, illetve veszélyes keverékekkel végzett tevékenységben bekövetkezett változás bejelentése a 13. számú melléklet szerint elektronikus úton az Országos Szakrendszeri Információs Rendszer által biztosított módon történik.</w:t>
      </w:r>
    </w:p>
    <w:p>
      <w:pPr>
        <w:jc w:val="both"/>
        <w:rPr>
          <w:sz w:val="24"/>
        </w:rPr>
      </w:pPr>
      <w:r>
        <w:rPr>
          <w:sz w:val="24"/>
        </w:rPr>
        <w:t xml:space="preserve">Ennek okán szükséges egy minden anyagot tartalmazó nyilvántartás készítése és annak folyamatos vezetése, </w:t>
      </w:r>
      <w:proofErr w:type="gramStart"/>
      <w:r>
        <w:rPr>
          <w:sz w:val="24"/>
        </w:rPr>
        <w:t>aktualizálása</w:t>
      </w:r>
      <w:proofErr w:type="gramEnd"/>
      <w:r>
        <w:rPr>
          <w:sz w:val="24"/>
        </w:rPr>
        <w:t>.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27"/>
        <w:gridCol w:w="2163"/>
        <w:gridCol w:w="2182"/>
        <w:gridCol w:w="2190"/>
      </w:tblGrid>
      <w:tr>
        <w:tc>
          <w:tcPr>
            <w:tcW w:w="9062" w:type="dxa"/>
            <w:gridSpan w:val="4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VESZÉLYES ANYAGOKKAL, ILLETVE KEVERÉKEKKEL FOLYTATOTT TEVÉKENYSÉG BEJELENTÉSE</w:t>
            </w:r>
          </w:p>
        </w:tc>
      </w:tr>
      <w:tr>
        <w:tc>
          <w:tcPr>
            <w:tcW w:w="9062" w:type="dxa"/>
            <w:gridSpan w:val="4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Tevékenységet végző (cég):</w:t>
            </w: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Neve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Székhelye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Telephely címe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Megye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1485"/>
        </w:trP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Tevékenység telephelyen belüli pontos helyszínei 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Felelős személy neve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Elérhetőség címe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2527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9062" w:type="dxa"/>
            <w:gridSpan w:val="4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A veszélyes anyaggal/veszélyes keverékkel végzett tevékenység megnevezése</w:t>
            </w:r>
          </w:p>
        </w:tc>
      </w:tr>
      <w:tr>
        <w:tc>
          <w:tcPr>
            <w:tcW w:w="4690" w:type="dxa"/>
            <w:gridSpan w:val="2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Tevékenység megnevezése</w:t>
            </w:r>
          </w:p>
        </w:tc>
        <w:tc>
          <w:tcPr>
            <w:tcW w:w="2182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van</w:t>
            </w:r>
          </w:p>
        </w:tc>
        <w:tc>
          <w:tcPr>
            <w:tcW w:w="2190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nincs</w:t>
            </w: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Előállítás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Gyártás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Feldolgozás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Csomagolás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Címkézés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Osztályozás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Tárolás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Anyagmozgatás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Forgalomba hozatal (forgalmazás)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Felhasználás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Elemzéssel, ellenőrzéssel kapcsolatos vizsgálat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Kutatásfejlesztés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c>
          <w:tcPr>
            <w:tcW w:w="4690" w:type="dxa"/>
            <w:gridSpan w:val="2"/>
          </w:tcPr>
          <w:p>
            <w:pPr>
              <w:shd w:val="clear" w:color="auto" w:fill="FFFFFF"/>
              <w:spacing w:line="405" w:lineRule="atLeast"/>
              <w:jc w:val="both"/>
              <w:rPr>
                <w:rFonts w:cstheme="minorHAnsi"/>
                <w:sz w:val="24"/>
                <w:szCs w:val="27"/>
              </w:rPr>
            </w:pPr>
            <w:r>
              <w:rPr>
                <w:rFonts w:cstheme="minorHAnsi"/>
                <w:sz w:val="24"/>
                <w:szCs w:val="27"/>
              </w:rPr>
              <w:t>Egyéb</w:t>
            </w:r>
          </w:p>
        </w:tc>
        <w:tc>
          <w:tcPr>
            <w:tcW w:w="2182" w:type="dxa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190" w:type="dxa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1808"/>
        </w:trPr>
        <w:tc>
          <w:tcPr>
            <w:tcW w:w="2527" w:type="dxa"/>
          </w:tcPr>
          <w:p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Tevékenység(</w:t>
            </w:r>
            <w:proofErr w:type="spellStart"/>
            <w:proofErr w:type="gramEnd"/>
            <w:r>
              <w:rPr>
                <w:b/>
                <w:sz w:val="24"/>
              </w:rPr>
              <w:t>ek</w:t>
            </w:r>
            <w:proofErr w:type="spellEnd"/>
            <w:r>
              <w:rPr>
                <w:b/>
                <w:sz w:val="24"/>
              </w:rPr>
              <w:t>) TEÁOR kódja(i)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9062" w:type="dxa"/>
            <w:gridSpan w:val="4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Veszélyes </w:t>
            </w:r>
            <w:proofErr w:type="gramStart"/>
            <w:r>
              <w:rPr>
                <w:b/>
                <w:sz w:val="24"/>
              </w:rPr>
              <w:t>anyag(</w:t>
            </w:r>
            <w:proofErr w:type="gramEnd"/>
            <w:r>
              <w:rPr>
                <w:b/>
                <w:sz w:val="24"/>
              </w:rPr>
              <w:t>ok), veszélyes keverék(</w:t>
            </w:r>
            <w:proofErr w:type="spellStart"/>
            <w:r>
              <w:rPr>
                <w:b/>
                <w:sz w:val="24"/>
              </w:rPr>
              <w:t>ek</w:t>
            </w:r>
            <w:proofErr w:type="spellEnd"/>
            <w:r>
              <w:rPr>
                <w:b/>
                <w:sz w:val="24"/>
              </w:rPr>
              <w:t>), melyekkel a tevékenység folyik</w:t>
            </w: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Név: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Veszélyszimbólum: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CAS vagy EU szám: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Éves mennyiség: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9062" w:type="dxa"/>
            <w:gridSpan w:val="4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Név:</w:t>
            </w:r>
          </w:p>
        </w:tc>
        <w:tc>
          <w:tcPr>
            <w:tcW w:w="6535" w:type="dxa"/>
            <w:gridSpan w:val="3"/>
          </w:tcPr>
          <w:p/>
        </w:tc>
      </w:tr>
      <w:tr>
        <w:trPr>
          <w:trHeight w:val="300"/>
        </w:trPr>
        <w:tc>
          <w:tcPr>
            <w:tcW w:w="2527" w:type="dxa"/>
          </w:tcPr>
          <w:p>
            <w:r>
              <w:t>Veszélyszimbólum:</w:t>
            </w:r>
          </w:p>
        </w:tc>
        <w:tc>
          <w:tcPr>
            <w:tcW w:w="6535" w:type="dxa"/>
            <w:gridSpan w:val="3"/>
          </w:tcPr>
          <w:p/>
        </w:tc>
      </w:tr>
      <w:tr>
        <w:trPr>
          <w:trHeight w:val="300"/>
        </w:trPr>
        <w:tc>
          <w:tcPr>
            <w:tcW w:w="2527" w:type="dxa"/>
          </w:tcPr>
          <w:p>
            <w:r>
              <w:t>CAS vagy EU szám:</w:t>
            </w:r>
          </w:p>
        </w:tc>
        <w:tc>
          <w:tcPr>
            <w:tcW w:w="6535" w:type="dxa"/>
            <w:gridSpan w:val="3"/>
          </w:tcPr>
          <w:p/>
        </w:tc>
      </w:tr>
      <w:tr>
        <w:trPr>
          <w:trHeight w:val="300"/>
        </w:trPr>
        <w:tc>
          <w:tcPr>
            <w:tcW w:w="2527" w:type="dxa"/>
          </w:tcPr>
          <w:p>
            <w:r>
              <w:t>Éves mennyiség:</w:t>
            </w:r>
          </w:p>
        </w:tc>
        <w:tc>
          <w:tcPr>
            <w:tcW w:w="6535" w:type="dxa"/>
            <w:gridSpan w:val="3"/>
          </w:tcPr>
          <w:p/>
        </w:tc>
      </w:tr>
      <w:tr>
        <w:trPr>
          <w:trHeight w:val="300"/>
        </w:trPr>
        <w:tc>
          <w:tcPr>
            <w:tcW w:w="9062" w:type="dxa"/>
            <w:gridSpan w:val="4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Név: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Veszélyszimbólum: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CAS vagy EU szám: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Éves mennyiség: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9062" w:type="dxa"/>
            <w:gridSpan w:val="4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Név: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Veszélyszimbólum: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CAS vagy EU szám: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Éves mennyiség: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9062" w:type="dxa"/>
            <w:gridSpan w:val="4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Név: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Veszélyszimbólum: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CAS vagy EU szám: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Éves mennyiség: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9062" w:type="dxa"/>
            <w:gridSpan w:val="4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Név: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Veszélyszimbólum: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CAS vagy EU szám: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Éves mennyiség: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9062" w:type="dxa"/>
            <w:gridSpan w:val="4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Név: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Veszélyszimbólum: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CAS vagy EU szám: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  <w:tr>
        <w:trPr>
          <w:trHeight w:val="300"/>
        </w:trPr>
        <w:tc>
          <w:tcPr>
            <w:tcW w:w="2527" w:type="dxa"/>
          </w:tcPr>
          <w:p>
            <w:r>
              <w:t>Éves mennyiség:</w:t>
            </w:r>
          </w:p>
        </w:tc>
        <w:tc>
          <w:tcPr>
            <w:tcW w:w="6535" w:type="dxa"/>
            <w:gridSpan w:val="3"/>
          </w:tcPr>
          <w:p>
            <w:pPr>
              <w:jc w:val="both"/>
              <w:rPr>
                <w:sz w:val="24"/>
              </w:rPr>
            </w:pPr>
          </w:p>
        </w:tc>
      </w:tr>
    </w:tbl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92"/>
    <w:rsid w:val="00185192"/>
    <w:rsid w:val="00521AA8"/>
    <w:rsid w:val="008B577A"/>
    <w:rsid w:val="008B73F9"/>
    <w:rsid w:val="00941528"/>
    <w:rsid w:val="009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69E6"/>
  <w15:chartTrackingRefBased/>
  <w15:docId w15:val="{57DDF160-EB28-465F-BBD4-89D61C5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2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364</Words>
  <Characters>2519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2878</CharactersWithSpaces>
  <SharedDoc>false</SharedDoc>
  <HyperlinksChanged>false</HyperlinksChanged>
</Properties>
</file>